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5C0B67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5520DF" w:rsidRPr="005520DF">
        <w:rPr>
          <w:sz w:val="32"/>
          <w:szCs w:val="32"/>
        </w:rPr>
        <w:t>8304</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10BC3163"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5520DF">
        <w:rPr>
          <w:sz w:val="22"/>
          <w:szCs w:val="22"/>
          <w:lang w:val="sv-SE"/>
        </w:rPr>
        <w:t>9.2.1.1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86EF8AC" w:rsidR="00E90E49" w:rsidRPr="00CE0424" w:rsidRDefault="003D3C45" w:rsidP="00311702">
      <w:pPr>
        <w:pStyle w:val="3GPPHeader"/>
        <w:rPr>
          <w:sz w:val="22"/>
          <w:szCs w:val="22"/>
        </w:rPr>
      </w:pPr>
      <w:r>
        <w:rPr>
          <w:sz w:val="22"/>
          <w:szCs w:val="22"/>
        </w:rPr>
        <w:t>Title:</w:t>
      </w:r>
      <w:r w:rsidR="00E90E49" w:rsidRPr="00CE0424">
        <w:rPr>
          <w:sz w:val="22"/>
          <w:szCs w:val="22"/>
        </w:rPr>
        <w:tab/>
      </w:r>
      <w:r w:rsidR="002F1998">
        <w:rPr>
          <w:sz w:val="22"/>
          <w:szCs w:val="22"/>
        </w:rPr>
        <w:t>SCG split bearer</w:t>
      </w:r>
      <w:r w:rsidR="0054212F">
        <w:rPr>
          <w:sz w:val="22"/>
          <w:szCs w:val="22"/>
        </w:rPr>
        <w:t xml:space="preserve"> </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31E8B">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8E6C2EA" w14:textId="2A68E16E" w:rsidR="00E30157" w:rsidRPr="00CE0424" w:rsidRDefault="00E30157" w:rsidP="00E30157">
      <w:pPr>
        <w:pStyle w:val="BodyText"/>
      </w:pPr>
      <w:r>
        <w:t xml:space="preserve">In email discussion [95bis#04], a text proposal for </w:t>
      </w:r>
      <w:r w:rsidR="0054212F">
        <w:t xml:space="preserve">bearer type comparisons for NR </w:t>
      </w:r>
      <w:r>
        <w:t>was formulated</w:t>
      </w:r>
      <w:r w:rsidR="0054212F">
        <w:t xml:space="preserve"> in </w:t>
      </w:r>
      <w:r w:rsidR="0054212F">
        <w:fldChar w:fldCharType="begin"/>
      </w:r>
      <w:r w:rsidR="0054212F">
        <w:instrText xml:space="preserve"> REF _Ref465684025 \n \h </w:instrText>
      </w:r>
      <w:r w:rsidR="0054212F">
        <w:fldChar w:fldCharType="separate"/>
      </w:r>
      <w:r w:rsidR="00B6759A">
        <w:t>[1]</w:t>
      </w:r>
      <w:r w:rsidR="0054212F">
        <w:fldChar w:fldCharType="end"/>
      </w:r>
      <w:r>
        <w:t xml:space="preserve">. A table was included to compare properties of the proposed different bearer types, SCG bearer, MCG split bearer and SCG split bearer. In this contribution we further discuss </w:t>
      </w:r>
      <w:r w:rsidR="00CF23E2">
        <w:t>bearer type support in NR.</w:t>
      </w:r>
    </w:p>
    <w:p w14:paraId="36CEC7B2" w14:textId="2ED50747" w:rsidR="001643A8" w:rsidRDefault="004000E8" w:rsidP="00CE0424">
      <w:pPr>
        <w:pStyle w:val="Heading1"/>
      </w:pPr>
      <w:bookmarkStart w:id="0" w:name="_Ref178064866"/>
      <w:r w:rsidRPr="00CE0424">
        <w:t>Discussion</w:t>
      </w:r>
      <w:bookmarkEnd w:id="0"/>
    </w:p>
    <w:p w14:paraId="483771F5" w14:textId="6D80F488" w:rsidR="00682835" w:rsidRDefault="00E503F9" w:rsidP="00E26649">
      <w:r>
        <w:t xml:space="preserve">From a network deployment point of view, there are benefits of having bearer types terminated in MeNB and in SeNB. </w:t>
      </w:r>
      <w:r w:rsidR="009D3C9F">
        <w:t>For this reason, both MeNB and SeNB terminated bearer types were included in LTE DC.</w:t>
      </w:r>
      <w:r>
        <w:t xml:space="preserve"> </w:t>
      </w:r>
      <w:r w:rsidR="009D3C9F">
        <w:t>In addition</w:t>
      </w:r>
      <w:r w:rsidR="00B6759A">
        <w:t xml:space="preserve"> to</w:t>
      </w:r>
      <w:r w:rsidR="009D3C9F">
        <w:t xml:space="preserve"> MCG bearers, SCG bearers we</w:t>
      </w:r>
      <w:r w:rsidR="00AF07AD">
        <w:t>re</w:t>
      </w:r>
      <w:r w:rsidR="009D3C9F">
        <w:t xml:space="preserve"> included to give possibility to offload MeNB processing and to support direct routing to CN and avoid routing all user plane data via the MeNB. We think for the same reasons both MeNB and SeNB terminated bearers should be supported also for NR. </w:t>
      </w:r>
    </w:p>
    <w:p w14:paraId="5031314B" w14:textId="5BBEB7E7" w:rsidR="00682835" w:rsidRDefault="00682835" w:rsidP="00682835">
      <w:pPr>
        <w:pStyle w:val="Observation"/>
      </w:pPr>
      <w:bookmarkStart w:id="1" w:name="_Toc465262469"/>
      <w:bookmarkStart w:id="2" w:name="_Toc465262490"/>
      <w:bookmarkStart w:id="3" w:name="_Toc465685560"/>
      <w:bookmarkStart w:id="4" w:name="_Toc465688335"/>
      <w:bookmarkStart w:id="5" w:name="_Toc465688567"/>
      <w:bookmarkStart w:id="6" w:name="_Toc465690078"/>
      <w:bookmarkStart w:id="7" w:name="_Toc465939908"/>
      <w:bookmarkStart w:id="8" w:name="_Toc465981689"/>
      <w:bookmarkStart w:id="9" w:name="_Toc466071948"/>
      <w:bookmarkStart w:id="10" w:name="_Toc466072430"/>
      <w:r>
        <w:t xml:space="preserve">There </w:t>
      </w:r>
      <w:r w:rsidR="009E66F1">
        <w:t>are</w:t>
      </w:r>
      <w:r>
        <w:t xml:space="preserve"> benefit</w:t>
      </w:r>
      <w:r w:rsidR="009E66F1">
        <w:t>s</w:t>
      </w:r>
      <w:r>
        <w:t xml:space="preserve"> of having </w:t>
      </w:r>
      <w:r w:rsidR="009D3C9F">
        <w:t>bearer types</w:t>
      </w:r>
      <w:r>
        <w:t xml:space="preserve"> </w:t>
      </w:r>
      <w:r w:rsidR="009D3C9F">
        <w:t>that terminate in either</w:t>
      </w:r>
      <w:r>
        <w:t xml:space="preserve"> </w:t>
      </w:r>
      <w:r w:rsidR="009D3C9F">
        <w:t>MeNB</w:t>
      </w:r>
      <w:r>
        <w:t xml:space="preserve"> </w:t>
      </w:r>
      <w:r w:rsidR="001E43C5">
        <w:t xml:space="preserve">or </w:t>
      </w:r>
      <w:bookmarkEnd w:id="1"/>
      <w:bookmarkEnd w:id="2"/>
      <w:bookmarkEnd w:id="3"/>
      <w:bookmarkEnd w:id="4"/>
      <w:r w:rsidR="009D3C9F">
        <w:t>SeNB</w:t>
      </w:r>
      <w:r w:rsidR="001B477B">
        <w:t>.</w:t>
      </w:r>
      <w:bookmarkEnd w:id="5"/>
      <w:bookmarkEnd w:id="6"/>
      <w:bookmarkEnd w:id="7"/>
      <w:bookmarkEnd w:id="8"/>
      <w:bookmarkEnd w:id="9"/>
      <w:bookmarkEnd w:id="10"/>
    </w:p>
    <w:p w14:paraId="7E2BC453" w14:textId="77777777" w:rsidR="00682835" w:rsidRDefault="00682835" w:rsidP="00E26649"/>
    <w:p w14:paraId="7D193544" w14:textId="68EFB3C1" w:rsidR="00682835" w:rsidRDefault="009D3C9F" w:rsidP="00E26649">
      <w:r>
        <w:t>I</w:t>
      </w:r>
      <w:r w:rsidR="009E66F1">
        <w:t xml:space="preserve">n </w:t>
      </w:r>
      <w:r w:rsidR="00347B54">
        <w:fldChar w:fldCharType="begin"/>
      </w:r>
      <w:r w:rsidR="00347B54">
        <w:instrText xml:space="preserve"> REF _Ref465684025 \n \h </w:instrText>
      </w:r>
      <w:r w:rsidR="00347B54">
        <w:fldChar w:fldCharType="separate"/>
      </w:r>
      <w:r w:rsidR="00B6759A">
        <w:t>[1]</w:t>
      </w:r>
      <w:r w:rsidR="00347B54">
        <w:fldChar w:fldCharType="end"/>
      </w:r>
      <w:r w:rsidR="009E66F1">
        <w:t xml:space="preserve">, </w:t>
      </w:r>
      <w:r>
        <w:t xml:space="preserve">the bearer type comparison table lists </w:t>
      </w:r>
      <w:r w:rsidR="00682835">
        <w:t xml:space="preserve">the following gains </w:t>
      </w:r>
      <w:r>
        <w:t xml:space="preserve">of the SCG split bearer </w:t>
      </w:r>
      <w:r w:rsidR="009E66F1">
        <w:t>compared to</w:t>
      </w:r>
      <w:r w:rsidR="00682835">
        <w:t xml:space="preserve"> SCG bearer:</w:t>
      </w:r>
    </w:p>
    <w:p w14:paraId="5A7514FF" w14:textId="5E463D04" w:rsidR="00682835" w:rsidRDefault="00682835" w:rsidP="00682835">
      <w:pPr>
        <w:pStyle w:val="ListParagraph"/>
        <w:numPr>
          <w:ilvl w:val="0"/>
          <w:numId w:val="15"/>
        </w:numPr>
      </w:pPr>
      <w:r>
        <w:t>Possibility to split traffic dynamically between MCG and SCG</w:t>
      </w:r>
    </w:p>
    <w:p w14:paraId="479FA0A3" w14:textId="455409DA" w:rsidR="00682835" w:rsidRDefault="00B233DA" w:rsidP="00682835">
      <w:pPr>
        <w:pStyle w:val="ListParagraph"/>
        <w:numPr>
          <w:ilvl w:val="0"/>
          <w:numId w:val="15"/>
        </w:numPr>
      </w:pPr>
      <w:r>
        <w:t>Aggregation of</w:t>
      </w:r>
      <w:r w:rsidR="00682835">
        <w:t xml:space="preserve"> MCG and SCG</w:t>
      </w:r>
    </w:p>
    <w:p w14:paraId="2F36A64D" w14:textId="4ECE0240" w:rsidR="009E66F1" w:rsidRDefault="009E66F1" w:rsidP="00682835">
      <w:pPr>
        <w:pStyle w:val="ListParagraph"/>
        <w:numPr>
          <w:ilvl w:val="0"/>
          <w:numId w:val="15"/>
        </w:numPr>
      </w:pPr>
      <w:r>
        <w:t>Limited interruptions during mobility</w:t>
      </w:r>
    </w:p>
    <w:p w14:paraId="4150380C" w14:textId="532F1A1C" w:rsidR="00E503F9" w:rsidRDefault="00B233DA" w:rsidP="00B233DA">
      <w:pPr>
        <w:pStyle w:val="BodyText"/>
      </w:pPr>
      <w:r>
        <w:t xml:space="preserve">In addition to these benefits, there is the benefit of increased robustness when having the possibility to dynamically split traffic between MCG and SCG. </w:t>
      </w:r>
      <w:r w:rsidRPr="00B233DA">
        <w:t>Recovery from SCG failure could be improved, si</w:t>
      </w:r>
      <w:r>
        <w:t>nce traffic could continue via M</w:t>
      </w:r>
      <w:r w:rsidRPr="00B233DA">
        <w:t>CG</w:t>
      </w:r>
      <w:r>
        <w:t xml:space="preserve">. </w:t>
      </w:r>
      <w:r w:rsidR="009D3C9F">
        <w:t>For the SCG split bearer, there is also the possibility to schedule UL and DL data over separate accesses, which may be beneficial in UL/DL imbalance scenarios.</w:t>
      </w:r>
    </w:p>
    <w:p w14:paraId="590101AF" w14:textId="78D67CE6" w:rsidR="00682835" w:rsidRDefault="00682835" w:rsidP="00D62CD5">
      <w:pPr>
        <w:pStyle w:val="Observation"/>
      </w:pPr>
      <w:bookmarkStart w:id="11" w:name="_Toc465262470"/>
      <w:bookmarkStart w:id="12" w:name="_Toc465262491"/>
      <w:bookmarkStart w:id="13" w:name="_Toc465685561"/>
      <w:bookmarkStart w:id="14" w:name="_Toc465688336"/>
      <w:bookmarkStart w:id="15" w:name="_Toc465688568"/>
      <w:bookmarkStart w:id="16" w:name="_Toc465690079"/>
      <w:bookmarkStart w:id="17" w:name="_Toc465939909"/>
      <w:bookmarkStart w:id="18" w:name="_Toc465981690"/>
      <w:bookmarkStart w:id="19" w:name="_Toc466071949"/>
      <w:bookmarkStart w:id="20" w:name="_Toc466072431"/>
      <w:r>
        <w:t>SCG split bearer provides</w:t>
      </w:r>
      <w:r w:rsidR="009E66F1">
        <w:t xml:space="preserve"> several</w:t>
      </w:r>
      <w:r>
        <w:t xml:space="preserve"> benefits over SCG bearer</w:t>
      </w:r>
      <w:bookmarkEnd w:id="11"/>
      <w:bookmarkEnd w:id="12"/>
      <w:bookmarkEnd w:id="13"/>
      <w:bookmarkEnd w:id="14"/>
      <w:r w:rsidR="001B477B">
        <w:t>.</w:t>
      </w:r>
      <w:bookmarkEnd w:id="15"/>
      <w:bookmarkEnd w:id="16"/>
      <w:bookmarkEnd w:id="17"/>
      <w:bookmarkEnd w:id="18"/>
      <w:bookmarkEnd w:id="19"/>
      <w:bookmarkEnd w:id="20"/>
    </w:p>
    <w:p w14:paraId="6317AFA0" w14:textId="77777777" w:rsidR="00682835" w:rsidRDefault="00682835" w:rsidP="00CE0424">
      <w:pPr>
        <w:pStyle w:val="BodyText"/>
      </w:pPr>
    </w:p>
    <w:p w14:paraId="17268478" w14:textId="18CAB237" w:rsidR="00682835" w:rsidRDefault="005E1E93" w:rsidP="00CF23E2">
      <w:pPr>
        <w:pStyle w:val="BodyText"/>
        <w:spacing w:after="0"/>
      </w:pPr>
      <w:r>
        <w:t xml:space="preserve">In </w:t>
      </w:r>
      <w:r>
        <w:fldChar w:fldCharType="begin"/>
      </w:r>
      <w:r>
        <w:instrText xml:space="preserve"> REF _Ref465684025 \n \h </w:instrText>
      </w:r>
      <w:r>
        <w:fldChar w:fldCharType="separate"/>
      </w:r>
      <w:r w:rsidR="00B6759A">
        <w:t>[1]</w:t>
      </w:r>
      <w:r>
        <w:fldChar w:fldCharType="end"/>
      </w:r>
      <w:r>
        <w:t xml:space="preserve">, </w:t>
      </w:r>
      <w:r w:rsidR="00347B54">
        <w:t>the bearer type comparison table</w:t>
      </w:r>
      <w:r>
        <w:t xml:space="preserve"> lists</w:t>
      </w:r>
      <w:r w:rsidR="00347B54">
        <w:t xml:space="preserve"> </w:t>
      </w:r>
      <w:r w:rsidR="00D735B1">
        <w:t>the following d</w:t>
      </w:r>
      <w:r w:rsidR="00682835">
        <w:t xml:space="preserve">rawbacks of SCG split bearer </w:t>
      </w:r>
      <w:r w:rsidR="00D735B1">
        <w:t xml:space="preserve">are mentioned </w:t>
      </w:r>
      <w:r w:rsidR="00682835">
        <w:t>compared to SCG bearer</w:t>
      </w:r>
      <w:r w:rsidR="00D735B1">
        <w:t>:</w:t>
      </w:r>
    </w:p>
    <w:p w14:paraId="1112D885" w14:textId="1476AF36" w:rsidR="00682835" w:rsidRDefault="00E30157" w:rsidP="00CF23E2">
      <w:pPr>
        <w:pStyle w:val="BodyText"/>
        <w:numPr>
          <w:ilvl w:val="0"/>
          <w:numId w:val="15"/>
        </w:numPr>
        <w:spacing w:after="0"/>
      </w:pPr>
      <w:r w:rsidRPr="00E30157">
        <w:t>The Xn interface has to offer the latency of 5-30 ms and sufficient capacity</w:t>
      </w:r>
      <w:r>
        <w:t xml:space="preserve"> to cope with LTE bitrates</w:t>
      </w:r>
    </w:p>
    <w:p w14:paraId="282C5C72" w14:textId="7CE0D91E" w:rsidR="00E30157" w:rsidRDefault="00E30157" w:rsidP="00E30157">
      <w:pPr>
        <w:pStyle w:val="BodyText"/>
        <w:numPr>
          <w:ilvl w:val="0"/>
          <w:numId w:val="15"/>
        </w:numPr>
      </w:pPr>
      <w:r w:rsidRPr="00E30157">
        <w:t>Additional U-plane latency for MCG path</w:t>
      </w:r>
    </w:p>
    <w:p w14:paraId="2CEBBA81" w14:textId="23E4B64D" w:rsidR="00682835" w:rsidRDefault="00D735B1" w:rsidP="00CE0424">
      <w:pPr>
        <w:pStyle w:val="BodyText"/>
      </w:pPr>
      <w:r>
        <w:t xml:space="preserve">However, we note that </w:t>
      </w:r>
      <w:r w:rsidR="002B31C8">
        <w:t xml:space="preserve">network scheduling decisions can mitigate these drawbacks. In the case of poor capacity network interface causing excessive delays and poor performance due to PDCP reordering, the network scheduler can ensure </w:t>
      </w:r>
      <w:r>
        <w:t>user plane data flow only between SCG and UE, effectively removing the ne</w:t>
      </w:r>
      <w:r w:rsidR="002B31C8">
        <w:t>gatives of the SCG split bearer</w:t>
      </w:r>
      <w:r>
        <w:t>.</w:t>
      </w:r>
    </w:p>
    <w:p w14:paraId="6839D828" w14:textId="00CADBDB" w:rsidR="00B80F6C" w:rsidRDefault="00B80F6C" w:rsidP="00B80F6C">
      <w:pPr>
        <w:pStyle w:val="Observation"/>
      </w:pPr>
      <w:bookmarkStart w:id="21" w:name="_Toc465688337"/>
      <w:bookmarkStart w:id="22" w:name="_Toc465688569"/>
      <w:bookmarkStart w:id="23" w:name="_Toc465690080"/>
      <w:bookmarkStart w:id="24" w:name="_Toc465939910"/>
      <w:bookmarkStart w:id="25" w:name="_Toc465981691"/>
      <w:bookmarkStart w:id="26" w:name="_Toc466071950"/>
      <w:bookmarkStart w:id="27" w:name="_Toc466072432"/>
      <w:r>
        <w:t>Drawbacks of SCG split bearer can be mitigated by scheduling decisions.</w:t>
      </w:r>
      <w:bookmarkEnd w:id="21"/>
      <w:bookmarkEnd w:id="22"/>
      <w:bookmarkEnd w:id="23"/>
      <w:bookmarkEnd w:id="24"/>
      <w:bookmarkEnd w:id="25"/>
      <w:bookmarkEnd w:id="26"/>
      <w:bookmarkEnd w:id="27"/>
      <w:r>
        <w:t xml:space="preserve"> </w:t>
      </w:r>
    </w:p>
    <w:p w14:paraId="183279F2" w14:textId="77777777" w:rsidR="00B80F6C" w:rsidRDefault="00B80F6C" w:rsidP="00CE0424">
      <w:pPr>
        <w:pStyle w:val="BodyText"/>
      </w:pPr>
    </w:p>
    <w:p w14:paraId="576C0DB8" w14:textId="29AC5533" w:rsidR="009E66F1" w:rsidRPr="009E66F1" w:rsidRDefault="00D735B1" w:rsidP="00CE0424">
      <w:pPr>
        <w:pStyle w:val="BodyText"/>
      </w:pPr>
      <w:r>
        <w:lastRenderedPageBreak/>
        <w:t>In summary</w:t>
      </w:r>
      <w:r w:rsidR="009E66F1">
        <w:t xml:space="preserve">, </w:t>
      </w:r>
      <w:r>
        <w:t>one</w:t>
      </w:r>
      <w:r w:rsidR="009E66F1">
        <w:t xml:space="preserve"> could argue that the SCG bearer </w:t>
      </w:r>
      <w:r w:rsidR="00CF23E2">
        <w:t>is</w:t>
      </w:r>
      <w:r w:rsidR="009E66F1">
        <w:t xml:space="preserve"> </w:t>
      </w:r>
      <w:r w:rsidR="00041D34">
        <w:t xml:space="preserve">a </w:t>
      </w:r>
      <w:r w:rsidR="009E66F1">
        <w:t xml:space="preserve">special configuration of the SCG split bearer. </w:t>
      </w:r>
      <w:r w:rsidR="00CF23E2">
        <w:t>Thus, i</w:t>
      </w:r>
      <w:r w:rsidR="009E66F1">
        <w:t xml:space="preserve">n order to reduce the </w:t>
      </w:r>
      <w:r>
        <w:t>number of</w:t>
      </w:r>
      <w:r w:rsidR="009E66F1">
        <w:t xml:space="preserve"> </w:t>
      </w:r>
      <w:r w:rsidR="00CF23E2">
        <w:t xml:space="preserve">specified </w:t>
      </w:r>
      <w:r w:rsidR="009E66F1">
        <w:t>bearer types</w:t>
      </w:r>
      <w:r w:rsidR="005E1E93">
        <w:t xml:space="preserve"> and thus complexity and number of test cases</w:t>
      </w:r>
      <w:r w:rsidR="009E66F1">
        <w:t xml:space="preserve">, we think the support of both SCG bearer and SCG split bearer </w:t>
      </w:r>
      <w:r w:rsidR="00CF23E2">
        <w:t>may be superfluous</w:t>
      </w:r>
      <w:r w:rsidR="00B80F6C">
        <w:t xml:space="preserve"> and </w:t>
      </w:r>
      <w:r w:rsidR="005E1E93">
        <w:t xml:space="preserve">that </w:t>
      </w:r>
      <w:r w:rsidR="00B80F6C">
        <w:t xml:space="preserve">only one </w:t>
      </w:r>
      <w:r w:rsidR="00DD7F9F">
        <w:t>bearer type terminated in SCG c</w:t>
      </w:r>
      <w:r w:rsidR="00B80F6C">
        <w:t>ould be specified</w:t>
      </w:r>
      <w:r w:rsidR="00CF23E2">
        <w:t>.</w:t>
      </w:r>
      <w:r w:rsidR="009E66F1">
        <w:t xml:space="preserve"> </w:t>
      </w:r>
    </w:p>
    <w:p w14:paraId="61E3E8D7" w14:textId="136601F7" w:rsidR="00B80F6C" w:rsidRDefault="009E66F1" w:rsidP="00CF23E2">
      <w:pPr>
        <w:pStyle w:val="Proposal"/>
      </w:pPr>
      <w:bookmarkStart w:id="28" w:name="_Toc465685557"/>
      <w:bookmarkStart w:id="29" w:name="_Toc465687998"/>
      <w:bookmarkStart w:id="30" w:name="_Toc465262471"/>
      <w:bookmarkStart w:id="31" w:name="_Toc465681983"/>
      <w:bookmarkStart w:id="32" w:name="_Toc465681999"/>
      <w:bookmarkStart w:id="33" w:name="_Toc465688553"/>
      <w:bookmarkStart w:id="34" w:name="_Toc465690075"/>
      <w:bookmarkStart w:id="35" w:name="_Toc465939906"/>
      <w:bookmarkStart w:id="36" w:name="_Toc465981678"/>
      <w:bookmarkStart w:id="37" w:name="_Toc466071951"/>
      <w:bookmarkStart w:id="38" w:name="_Toc466072434"/>
      <w:r>
        <w:t xml:space="preserve">Only one bearer type terminated in the SCG </w:t>
      </w:r>
      <w:r w:rsidR="00CF23E2">
        <w:t>should</w:t>
      </w:r>
      <w:r>
        <w:t xml:space="preserve"> be specified</w:t>
      </w:r>
      <w:bookmarkEnd w:id="30"/>
      <w:bookmarkEnd w:id="31"/>
      <w:bookmarkEnd w:id="32"/>
      <w:r w:rsidR="00B80F6C">
        <w:t>.</w:t>
      </w:r>
      <w:bookmarkEnd w:id="33"/>
      <w:bookmarkEnd w:id="34"/>
      <w:bookmarkEnd w:id="35"/>
      <w:bookmarkEnd w:id="36"/>
      <w:bookmarkEnd w:id="37"/>
      <w:bookmarkEnd w:id="38"/>
    </w:p>
    <w:p w14:paraId="49D59342" w14:textId="076426EA" w:rsidR="00B80F6C" w:rsidRDefault="00B80F6C" w:rsidP="00B80F6C">
      <w:pPr>
        <w:pStyle w:val="BodyText"/>
      </w:pPr>
    </w:p>
    <w:p w14:paraId="28358AEB" w14:textId="13E09F1D" w:rsidR="00B80F6C" w:rsidRDefault="00B80F6C" w:rsidP="00B80F6C">
      <w:pPr>
        <w:pStyle w:val="BodyText"/>
      </w:pPr>
      <w:r>
        <w:t xml:space="preserve">Since the SCG split bearer shows several advantages over the SCG bearer, RAN2 should </w:t>
      </w:r>
      <w:r w:rsidR="00693DC7">
        <w:t xml:space="preserve">focus the work on </w:t>
      </w:r>
      <w:r w:rsidR="00041D34">
        <w:t>the SCG split bearer.</w:t>
      </w:r>
    </w:p>
    <w:p w14:paraId="29C8779F" w14:textId="67753F47" w:rsidR="00CF23E2" w:rsidRDefault="007C6821" w:rsidP="00CF23E2">
      <w:pPr>
        <w:pStyle w:val="Proposal"/>
      </w:pPr>
      <w:bookmarkStart w:id="39" w:name="_Toc465688554"/>
      <w:bookmarkStart w:id="40" w:name="_Toc465690076"/>
      <w:bookmarkStart w:id="41" w:name="_Toc465939907"/>
      <w:bookmarkStart w:id="42" w:name="_Toc465981679"/>
      <w:bookmarkStart w:id="43" w:name="_Toc466071952"/>
      <w:bookmarkStart w:id="44" w:name="_Toc466072435"/>
      <w:r>
        <w:t>RAN2 to further study</w:t>
      </w:r>
      <w:r w:rsidR="00CF23E2">
        <w:t xml:space="preserve"> the SCG split bearer</w:t>
      </w:r>
      <w:bookmarkEnd w:id="28"/>
      <w:bookmarkEnd w:id="29"/>
      <w:r>
        <w:t>.</w:t>
      </w:r>
      <w:bookmarkEnd w:id="39"/>
      <w:bookmarkEnd w:id="40"/>
      <w:bookmarkEnd w:id="41"/>
      <w:bookmarkEnd w:id="42"/>
      <w:bookmarkEnd w:id="43"/>
      <w:bookmarkEnd w:id="44"/>
    </w:p>
    <w:p w14:paraId="18097B4F" w14:textId="77777777" w:rsidR="00D305CD" w:rsidRDefault="00D305CD" w:rsidP="00D305CD">
      <w:pPr>
        <w:pStyle w:val="Proposal"/>
        <w:numPr>
          <w:ilvl w:val="0"/>
          <w:numId w:val="0"/>
        </w:numPr>
        <w:ind w:left="1701"/>
      </w:pPr>
    </w:p>
    <w:p w14:paraId="623F8040" w14:textId="50569A1D" w:rsidR="007F53EF" w:rsidRDefault="00CF23E2" w:rsidP="00CF23E2">
      <w:pPr>
        <w:pStyle w:val="Heading2"/>
      </w:pPr>
      <w:r>
        <w:t xml:space="preserve">Standard impact of </w:t>
      </w:r>
      <w:r w:rsidR="00347B54">
        <w:t xml:space="preserve">introducing </w:t>
      </w:r>
      <w:r>
        <w:t xml:space="preserve">SCG split bearer </w:t>
      </w:r>
    </w:p>
    <w:p w14:paraId="37A9AFF8" w14:textId="44183237" w:rsidR="00347B54" w:rsidRDefault="00347B54" w:rsidP="00347B54">
      <w:r>
        <w:t xml:space="preserve">We expect limited impact on the specifications from introducing the SCG split bearer, </w:t>
      </w:r>
      <w:r w:rsidR="001B477B">
        <w:t>by reusing functionality already specified for the MCG split bearer.</w:t>
      </w:r>
      <w:r>
        <w:t xml:space="preserve"> </w:t>
      </w:r>
      <w:r w:rsidR="00331E8B">
        <w:t xml:space="preserve">See table below for quick summary. </w:t>
      </w:r>
      <w:r>
        <w:t>Main impact will be in the RRC specification</w:t>
      </w:r>
      <w:r w:rsidR="00F63155">
        <w:t>, e.g. SCG split bearer will use separate encryption keys compared to MCG split bearer</w:t>
      </w:r>
      <w:r>
        <w:t>.</w:t>
      </w:r>
    </w:p>
    <w:p w14:paraId="125D6FEE" w14:textId="07FF7B45" w:rsidR="00347B54" w:rsidRDefault="00347B54" w:rsidP="00347B54"/>
    <w:tbl>
      <w:tblPr>
        <w:tblStyle w:val="TableGrid"/>
        <w:tblW w:w="0" w:type="auto"/>
        <w:tblLook w:val="04A0" w:firstRow="1" w:lastRow="0" w:firstColumn="1" w:lastColumn="0" w:noHBand="0" w:noVBand="1"/>
      </w:tblPr>
      <w:tblGrid>
        <w:gridCol w:w="2093"/>
        <w:gridCol w:w="7686"/>
      </w:tblGrid>
      <w:tr w:rsidR="00347B54" w14:paraId="67B2A5C5" w14:textId="77777777" w:rsidTr="00CA6DEF">
        <w:tc>
          <w:tcPr>
            <w:tcW w:w="2093" w:type="dxa"/>
          </w:tcPr>
          <w:p w14:paraId="6C129AF8" w14:textId="12278EC3" w:rsidR="00347B54" w:rsidRDefault="00CA6DEF" w:rsidP="00347B54">
            <w:pPr>
              <w:spacing w:before="120"/>
            </w:pPr>
            <w:r>
              <w:t>X2-frame protocol</w:t>
            </w:r>
          </w:p>
        </w:tc>
        <w:tc>
          <w:tcPr>
            <w:tcW w:w="7686" w:type="dxa"/>
          </w:tcPr>
          <w:p w14:paraId="20D0073E" w14:textId="5FFA64E2" w:rsidR="00347B54" w:rsidRDefault="00CD2D06" w:rsidP="00CA6DEF">
            <w:pPr>
              <w:pStyle w:val="BodyText"/>
              <w:spacing w:before="120"/>
            </w:pPr>
            <w:r>
              <w:t>Can reuse f</w:t>
            </w:r>
            <w:r w:rsidR="00347B54">
              <w:t xml:space="preserve">low control </w:t>
            </w:r>
            <w:r>
              <w:t>as specified for DC</w:t>
            </w:r>
            <w:r w:rsidR="00331E8B">
              <w:t xml:space="preserve">. Some rewording is needed to support also flow control from SeNB to MeNB </w:t>
            </w:r>
          </w:p>
        </w:tc>
      </w:tr>
      <w:tr w:rsidR="00347B54" w14:paraId="352A3677" w14:textId="77777777" w:rsidTr="00CA6DEF">
        <w:tc>
          <w:tcPr>
            <w:tcW w:w="2093" w:type="dxa"/>
          </w:tcPr>
          <w:p w14:paraId="4B8E6503" w14:textId="53ADF2F9" w:rsidR="00347B54" w:rsidRDefault="00CA6DEF" w:rsidP="00347B54">
            <w:pPr>
              <w:spacing w:before="120"/>
            </w:pPr>
            <w:r>
              <w:t>RRC</w:t>
            </w:r>
          </w:p>
        </w:tc>
        <w:tc>
          <w:tcPr>
            <w:tcW w:w="7686" w:type="dxa"/>
          </w:tcPr>
          <w:p w14:paraId="30C5F3E4" w14:textId="701D8153" w:rsidR="00347B54" w:rsidRDefault="00CA6DEF" w:rsidP="00347B54">
            <w:pPr>
              <w:spacing w:before="120"/>
            </w:pPr>
            <w:r w:rsidRPr="00CA6DEF">
              <w:t>Impact on setup, handover procedures</w:t>
            </w:r>
            <w:r w:rsidR="00331E8B">
              <w:t>, assignment of ciphering key</w:t>
            </w:r>
            <w:r w:rsidR="00E344EF">
              <w:t>, etc</w:t>
            </w:r>
          </w:p>
        </w:tc>
      </w:tr>
      <w:tr w:rsidR="00347B54" w14:paraId="27B2A48F" w14:textId="77777777" w:rsidTr="00CA6DEF">
        <w:tc>
          <w:tcPr>
            <w:tcW w:w="2093" w:type="dxa"/>
          </w:tcPr>
          <w:p w14:paraId="2F783565" w14:textId="0BA05992" w:rsidR="00347B54" w:rsidRDefault="00CA6DEF" w:rsidP="00347B54">
            <w:pPr>
              <w:spacing w:before="120"/>
            </w:pPr>
            <w:r>
              <w:t>PDCP</w:t>
            </w:r>
          </w:p>
        </w:tc>
        <w:tc>
          <w:tcPr>
            <w:tcW w:w="7686" w:type="dxa"/>
          </w:tcPr>
          <w:p w14:paraId="31A52614" w14:textId="55D1E381" w:rsidR="00347B54" w:rsidRDefault="00CD2D06" w:rsidP="00347B54">
            <w:pPr>
              <w:spacing w:before="120"/>
            </w:pPr>
            <w:r>
              <w:t>Can reuse reordering as specified for DC</w:t>
            </w:r>
            <w:r w:rsidRPr="00CA6DEF">
              <w:t xml:space="preserve"> </w:t>
            </w:r>
          </w:p>
        </w:tc>
      </w:tr>
      <w:tr w:rsidR="00347B54" w14:paraId="3E55F03C" w14:textId="77777777" w:rsidTr="00CA6DEF">
        <w:tc>
          <w:tcPr>
            <w:tcW w:w="2093" w:type="dxa"/>
          </w:tcPr>
          <w:p w14:paraId="0B5FCCE2" w14:textId="1ED92BE6" w:rsidR="00347B54" w:rsidRDefault="00CA6DEF" w:rsidP="00347B54">
            <w:pPr>
              <w:spacing w:before="120"/>
            </w:pPr>
            <w:r>
              <w:t>RLC, MAC</w:t>
            </w:r>
          </w:p>
        </w:tc>
        <w:tc>
          <w:tcPr>
            <w:tcW w:w="7686" w:type="dxa"/>
          </w:tcPr>
          <w:p w14:paraId="75439FCA" w14:textId="3295D6D8" w:rsidR="00347B54" w:rsidRDefault="00CA6DEF" w:rsidP="00347B54">
            <w:pPr>
              <w:spacing w:before="120"/>
            </w:pPr>
            <w:r>
              <w:t>No impact</w:t>
            </w:r>
          </w:p>
        </w:tc>
      </w:tr>
    </w:tbl>
    <w:p w14:paraId="6F28C048" w14:textId="09BF5459" w:rsidR="00347B54" w:rsidRDefault="00347B54" w:rsidP="00347B54"/>
    <w:p w14:paraId="0C138498" w14:textId="77777777" w:rsidR="00347B54" w:rsidRDefault="00347B54" w:rsidP="00347B54"/>
    <w:p w14:paraId="4FAB6C5D" w14:textId="77777777" w:rsidR="003742AC" w:rsidRPr="00CE0424" w:rsidRDefault="003742AC" w:rsidP="002B31C8">
      <w:pPr>
        <w:pStyle w:val="BodyText"/>
      </w:pPr>
    </w:p>
    <w:p w14:paraId="7E690B51" w14:textId="77777777" w:rsidR="00C01F33" w:rsidRPr="00CE0424" w:rsidRDefault="00C01F33" w:rsidP="00CE0424">
      <w:pPr>
        <w:pStyle w:val="Heading1"/>
      </w:pPr>
      <w:r w:rsidRPr="00CE0424">
        <w:t>Conclusion</w:t>
      </w:r>
    </w:p>
    <w:p w14:paraId="12C39E92" w14:textId="77777777" w:rsidR="00891C37"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6759A">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5A704ED" w14:textId="77777777" w:rsidR="00891C37" w:rsidRPr="00891C37" w:rsidRDefault="00891C37">
      <w:pPr>
        <w:pStyle w:val="TOC1"/>
        <w:rPr>
          <w:rFonts w:asciiTheme="minorHAnsi" w:eastAsiaTheme="minorEastAsia" w:hAnsiTheme="minorHAnsi" w:cstheme="minorBidi"/>
          <w:b w:val="0"/>
          <w:sz w:val="22"/>
          <w:lang w:val="en-GB" w:eastAsia="fi-FI"/>
        </w:rPr>
      </w:pPr>
      <w:r>
        <w:t>Observation 1</w:t>
      </w:r>
      <w:r w:rsidRPr="00891C37">
        <w:rPr>
          <w:rFonts w:asciiTheme="minorHAnsi" w:eastAsiaTheme="minorEastAsia" w:hAnsiTheme="minorHAnsi" w:cstheme="minorBidi"/>
          <w:b w:val="0"/>
          <w:sz w:val="22"/>
          <w:lang w:val="en-GB" w:eastAsia="fi-FI"/>
        </w:rPr>
        <w:tab/>
      </w:r>
      <w:r>
        <w:t>There are benefits of having bearer types that terminate in either MeNB or SeNB.</w:t>
      </w:r>
    </w:p>
    <w:p w14:paraId="2374F9A7" w14:textId="77777777" w:rsidR="00891C37" w:rsidRPr="00891C37" w:rsidRDefault="00891C37">
      <w:pPr>
        <w:pStyle w:val="TOC1"/>
        <w:rPr>
          <w:rFonts w:asciiTheme="minorHAnsi" w:eastAsiaTheme="minorEastAsia" w:hAnsiTheme="minorHAnsi" w:cstheme="minorBidi"/>
          <w:b w:val="0"/>
          <w:sz w:val="22"/>
          <w:lang w:val="en-GB" w:eastAsia="fi-FI"/>
        </w:rPr>
      </w:pPr>
      <w:r>
        <w:t>Observation 2</w:t>
      </w:r>
      <w:r w:rsidRPr="00891C37">
        <w:rPr>
          <w:rFonts w:asciiTheme="minorHAnsi" w:eastAsiaTheme="minorEastAsia" w:hAnsiTheme="minorHAnsi" w:cstheme="minorBidi"/>
          <w:b w:val="0"/>
          <w:sz w:val="22"/>
          <w:lang w:val="en-GB" w:eastAsia="fi-FI"/>
        </w:rPr>
        <w:tab/>
      </w:r>
      <w:r>
        <w:t>SCG split bearer provides several benefits over SCG bearer.</w:t>
      </w:r>
    </w:p>
    <w:p w14:paraId="599A3164" w14:textId="77777777" w:rsidR="00891C37" w:rsidRPr="00891C37" w:rsidRDefault="00891C37">
      <w:pPr>
        <w:pStyle w:val="TOC1"/>
        <w:rPr>
          <w:rFonts w:asciiTheme="minorHAnsi" w:eastAsiaTheme="minorEastAsia" w:hAnsiTheme="minorHAnsi" w:cstheme="minorBidi"/>
          <w:b w:val="0"/>
          <w:sz w:val="22"/>
          <w:lang w:val="en-GB" w:eastAsia="fi-FI"/>
        </w:rPr>
      </w:pPr>
      <w:r>
        <w:t>Observation 3</w:t>
      </w:r>
      <w:r w:rsidRPr="00891C37">
        <w:rPr>
          <w:rFonts w:asciiTheme="minorHAnsi" w:eastAsiaTheme="minorEastAsia" w:hAnsiTheme="minorHAnsi" w:cstheme="minorBidi"/>
          <w:b w:val="0"/>
          <w:sz w:val="22"/>
          <w:lang w:val="en-GB" w:eastAsia="fi-FI"/>
        </w:rPr>
        <w:tab/>
      </w:r>
      <w:r>
        <w:t xml:space="preserve">Drawbacks </w:t>
      </w:r>
      <w:bookmarkStart w:id="45" w:name="_GoBack"/>
      <w:bookmarkEnd w:id="45"/>
      <w:r>
        <w:t>of SCG split bearer can be mitigated by scheduling decisions.</w:t>
      </w:r>
    </w:p>
    <w:p w14:paraId="5C342F4B" w14:textId="77777777" w:rsidR="008E065E" w:rsidRDefault="008E065E" w:rsidP="008E065E">
      <w:pPr>
        <w:pStyle w:val="BodyText"/>
        <w:rPr>
          <w:b/>
          <w:bCs/>
        </w:rPr>
      </w:pPr>
      <w:r>
        <w:rPr>
          <w:b/>
          <w:bCs/>
        </w:rPr>
        <w:fldChar w:fldCharType="end"/>
      </w:r>
    </w:p>
    <w:p w14:paraId="4D5E0E38" w14:textId="77777777" w:rsidR="00891C3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6759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C545FA6" w14:textId="77777777" w:rsidR="00891C37" w:rsidRPr="00891C37" w:rsidRDefault="00891C37">
      <w:pPr>
        <w:pStyle w:val="TOC1"/>
        <w:rPr>
          <w:rFonts w:asciiTheme="minorHAnsi" w:eastAsiaTheme="minorEastAsia" w:hAnsiTheme="minorHAnsi" w:cstheme="minorBidi"/>
          <w:b w:val="0"/>
          <w:sz w:val="22"/>
          <w:lang w:val="en-GB" w:eastAsia="fi-FI"/>
        </w:rPr>
      </w:pPr>
      <w:r>
        <w:t>Proposal 1</w:t>
      </w:r>
      <w:r w:rsidRPr="00891C37">
        <w:rPr>
          <w:rFonts w:asciiTheme="minorHAnsi" w:eastAsiaTheme="minorEastAsia" w:hAnsiTheme="minorHAnsi" w:cstheme="minorBidi"/>
          <w:b w:val="0"/>
          <w:sz w:val="22"/>
          <w:lang w:val="en-GB" w:eastAsia="fi-FI"/>
        </w:rPr>
        <w:tab/>
      </w:r>
      <w:r>
        <w:t>Only one bearer type terminated in the SCG should be specified.</w:t>
      </w:r>
    </w:p>
    <w:p w14:paraId="3BE62CF6" w14:textId="77777777" w:rsidR="00891C37" w:rsidRPr="00891C37" w:rsidRDefault="00891C37">
      <w:pPr>
        <w:pStyle w:val="TOC1"/>
        <w:rPr>
          <w:rFonts w:asciiTheme="minorHAnsi" w:eastAsiaTheme="minorEastAsia" w:hAnsiTheme="minorHAnsi" w:cstheme="minorBidi"/>
          <w:b w:val="0"/>
          <w:sz w:val="22"/>
          <w:lang w:val="en-GB" w:eastAsia="fi-FI"/>
        </w:rPr>
      </w:pPr>
      <w:r>
        <w:t>Proposal 2</w:t>
      </w:r>
      <w:r w:rsidRPr="00891C37">
        <w:rPr>
          <w:rFonts w:asciiTheme="minorHAnsi" w:eastAsiaTheme="minorEastAsia" w:hAnsiTheme="minorHAnsi" w:cstheme="minorBidi"/>
          <w:b w:val="0"/>
          <w:sz w:val="22"/>
          <w:lang w:val="en-GB" w:eastAsia="fi-FI"/>
        </w:rPr>
        <w:tab/>
      </w:r>
      <w:r>
        <w:t>RAN2 to further study the SCG split bearer.</w:t>
      </w:r>
    </w:p>
    <w:p w14:paraId="43591C01" w14:textId="6BA90544" w:rsidR="00C01F33" w:rsidRPr="00BE6924" w:rsidRDefault="008E065E" w:rsidP="006E062C">
      <w:pPr>
        <w:rPr>
          <w:b/>
          <w:bCs/>
        </w:rPr>
      </w:pPr>
      <w:r>
        <w:rPr>
          <w:b/>
          <w:bCs/>
        </w:rPr>
        <w:fldChar w:fldCharType="end"/>
      </w:r>
    </w:p>
    <w:p w14:paraId="4C9431F6" w14:textId="77777777" w:rsidR="00F507D1" w:rsidRPr="00CE0424" w:rsidRDefault="00F507D1" w:rsidP="00CE0424">
      <w:pPr>
        <w:pStyle w:val="Heading1"/>
      </w:pPr>
      <w:bookmarkStart w:id="46" w:name="_In-sequence_SDU_delivery"/>
      <w:bookmarkEnd w:id="46"/>
      <w:r w:rsidRPr="00CE0424">
        <w:t>References</w:t>
      </w:r>
    </w:p>
    <w:p w14:paraId="550E5217" w14:textId="1EEFCAE5" w:rsidR="006C6268" w:rsidRDefault="006C6268" w:rsidP="006C6268">
      <w:pPr>
        <w:pStyle w:val="Reference"/>
      </w:pPr>
      <w:bookmarkStart w:id="47" w:name="_Ref465684025"/>
      <w:bookmarkStart w:id="48" w:name="_Ref174151459"/>
      <w:bookmarkStart w:id="49" w:name="_Ref189809556"/>
      <w:r>
        <w:t xml:space="preserve">R2-167321, </w:t>
      </w:r>
      <w:r w:rsidRPr="006C6268">
        <w:t>Text Proposal to TR 38.804 on bearer type comparison</w:t>
      </w:r>
      <w:r>
        <w:t>,</w:t>
      </w:r>
      <w:r w:rsidR="007929E2">
        <w:t xml:space="preserve"> NTT DOCOMO, I</w:t>
      </w:r>
      <w:r>
        <w:t>nc.</w:t>
      </w:r>
      <w:bookmarkEnd w:id="47"/>
      <w:r>
        <w:t xml:space="preserve"> </w:t>
      </w:r>
    </w:p>
    <w:bookmarkEnd w:id="48"/>
    <w:bookmarkEnd w:id="49"/>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39790" w14:textId="77777777" w:rsidR="00E90F27" w:rsidRDefault="00E90F27">
      <w:r>
        <w:separator/>
      </w:r>
    </w:p>
  </w:endnote>
  <w:endnote w:type="continuationSeparator" w:id="0">
    <w:p w14:paraId="5F897F98" w14:textId="77777777" w:rsidR="00E90F27" w:rsidRDefault="00E9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5DDD130" w:rsidR="001E43C5" w:rsidRDefault="001E43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1C3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1C3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6AFEB" w14:textId="77777777" w:rsidR="00E90F27" w:rsidRDefault="00E90F27">
      <w:r>
        <w:separator/>
      </w:r>
    </w:p>
  </w:footnote>
  <w:footnote w:type="continuationSeparator" w:id="0">
    <w:p w14:paraId="5731A0A7" w14:textId="77777777" w:rsidR="00E90F27" w:rsidRDefault="00E90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E43C5" w:rsidRDefault="001E43C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EC1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8CFB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FEB1E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F41939"/>
    <w:multiLevelType w:val="hybridMultilevel"/>
    <w:tmpl w:val="92065F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A74F25"/>
    <w:multiLevelType w:val="hybridMultilevel"/>
    <w:tmpl w:val="1DB87120"/>
    <w:lvl w:ilvl="0" w:tplc="DF8C7C4E">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D122D8"/>
    <w:multiLevelType w:val="hybridMultilevel"/>
    <w:tmpl w:val="1ED2A950"/>
    <w:lvl w:ilvl="0" w:tplc="DF8C7C4E">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650" w:hanging="360"/>
      </w:pPr>
      <w:rPr>
        <w:rFonts w:ascii="Courier New" w:hAnsi="Courier New" w:cs="Courier New" w:hint="default"/>
      </w:rPr>
    </w:lvl>
    <w:lvl w:ilvl="2" w:tplc="040B0005" w:tentative="1">
      <w:start w:val="1"/>
      <w:numFmt w:val="bullet"/>
      <w:lvlText w:val=""/>
      <w:lvlJc w:val="left"/>
      <w:pPr>
        <w:ind w:left="2370" w:hanging="360"/>
      </w:pPr>
      <w:rPr>
        <w:rFonts w:ascii="Wingdings" w:hAnsi="Wingdings" w:hint="default"/>
      </w:rPr>
    </w:lvl>
    <w:lvl w:ilvl="3" w:tplc="040B0001" w:tentative="1">
      <w:start w:val="1"/>
      <w:numFmt w:val="bullet"/>
      <w:lvlText w:val=""/>
      <w:lvlJc w:val="left"/>
      <w:pPr>
        <w:ind w:left="3090" w:hanging="360"/>
      </w:pPr>
      <w:rPr>
        <w:rFonts w:ascii="Symbol" w:hAnsi="Symbol" w:hint="default"/>
      </w:rPr>
    </w:lvl>
    <w:lvl w:ilvl="4" w:tplc="040B0003" w:tentative="1">
      <w:start w:val="1"/>
      <w:numFmt w:val="bullet"/>
      <w:lvlText w:val="o"/>
      <w:lvlJc w:val="left"/>
      <w:pPr>
        <w:ind w:left="3810" w:hanging="360"/>
      </w:pPr>
      <w:rPr>
        <w:rFonts w:ascii="Courier New" w:hAnsi="Courier New" w:cs="Courier New" w:hint="default"/>
      </w:rPr>
    </w:lvl>
    <w:lvl w:ilvl="5" w:tplc="040B0005" w:tentative="1">
      <w:start w:val="1"/>
      <w:numFmt w:val="bullet"/>
      <w:lvlText w:val=""/>
      <w:lvlJc w:val="left"/>
      <w:pPr>
        <w:ind w:left="4530" w:hanging="360"/>
      </w:pPr>
      <w:rPr>
        <w:rFonts w:ascii="Wingdings" w:hAnsi="Wingdings" w:hint="default"/>
      </w:rPr>
    </w:lvl>
    <w:lvl w:ilvl="6" w:tplc="040B0001" w:tentative="1">
      <w:start w:val="1"/>
      <w:numFmt w:val="bullet"/>
      <w:lvlText w:val=""/>
      <w:lvlJc w:val="left"/>
      <w:pPr>
        <w:ind w:left="5250" w:hanging="360"/>
      </w:pPr>
      <w:rPr>
        <w:rFonts w:ascii="Symbol" w:hAnsi="Symbol" w:hint="default"/>
      </w:rPr>
    </w:lvl>
    <w:lvl w:ilvl="7" w:tplc="040B0003" w:tentative="1">
      <w:start w:val="1"/>
      <w:numFmt w:val="bullet"/>
      <w:lvlText w:val="o"/>
      <w:lvlJc w:val="left"/>
      <w:pPr>
        <w:ind w:left="5970" w:hanging="360"/>
      </w:pPr>
      <w:rPr>
        <w:rFonts w:ascii="Courier New" w:hAnsi="Courier New" w:cs="Courier New" w:hint="default"/>
      </w:rPr>
    </w:lvl>
    <w:lvl w:ilvl="8" w:tplc="040B0005" w:tentative="1">
      <w:start w:val="1"/>
      <w:numFmt w:val="bullet"/>
      <w:lvlText w:val=""/>
      <w:lvlJc w:val="left"/>
      <w:pPr>
        <w:ind w:left="669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5"/>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491C"/>
    <w:rsid w:val="00006446"/>
    <w:rsid w:val="00006896"/>
    <w:rsid w:val="00006B58"/>
    <w:rsid w:val="00007CDC"/>
    <w:rsid w:val="00011B28"/>
    <w:rsid w:val="00015D15"/>
    <w:rsid w:val="0002564D"/>
    <w:rsid w:val="00025ECA"/>
    <w:rsid w:val="00027939"/>
    <w:rsid w:val="000325B8"/>
    <w:rsid w:val="00034C15"/>
    <w:rsid w:val="00036BA1"/>
    <w:rsid w:val="00041D34"/>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477B"/>
    <w:rsid w:val="001B5A5D"/>
    <w:rsid w:val="001C1CE5"/>
    <w:rsid w:val="001C3D2A"/>
    <w:rsid w:val="001C6495"/>
    <w:rsid w:val="001D51BA"/>
    <w:rsid w:val="001D6342"/>
    <w:rsid w:val="001D6D53"/>
    <w:rsid w:val="001E43C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FD5"/>
    <w:rsid w:val="00235632"/>
    <w:rsid w:val="00235872"/>
    <w:rsid w:val="002373A9"/>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6AC"/>
    <w:rsid w:val="002A2869"/>
    <w:rsid w:val="002A5692"/>
    <w:rsid w:val="002B24D6"/>
    <w:rsid w:val="002B31C8"/>
    <w:rsid w:val="002C41E6"/>
    <w:rsid w:val="002D071A"/>
    <w:rsid w:val="002D34B2"/>
    <w:rsid w:val="002D7637"/>
    <w:rsid w:val="002E17F2"/>
    <w:rsid w:val="002E7CAE"/>
    <w:rsid w:val="002F1998"/>
    <w:rsid w:val="002F2771"/>
    <w:rsid w:val="002F37A9"/>
    <w:rsid w:val="00301CE6"/>
    <w:rsid w:val="0030256B"/>
    <w:rsid w:val="0030501F"/>
    <w:rsid w:val="003073DF"/>
    <w:rsid w:val="00307BA1"/>
    <w:rsid w:val="00311702"/>
    <w:rsid w:val="00311E82"/>
    <w:rsid w:val="00313FD6"/>
    <w:rsid w:val="003143BD"/>
    <w:rsid w:val="00317B01"/>
    <w:rsid w:val="003203ED"/>
    <w:rsid w:val="00322C9F"/>
    <w:rsid w:val="00324D23"/>
    <w:rsid w:val="00331751"/>
    <w:rsid w:val="00331E8B"/>
    <w:rsid w:val="00334579"/>
    <w:rsid w:val="00335858"/>
    <w:rsid w:val="00336BDA"/>
    <w:rsid w:val="00342BD7"/>
    <w:rsid w:val="00343A07"/>
    <w:rsid w:val="00346DB5"/>
    <w:rsid w:val="003477B1"/>
    <w:rsid w:val="00347B54"/>
    <w:rsid w:val="0035482C"/>
    <w:rsid w:val="00357380"/>
    <w:rsid w:val="003602D9"/>
    <w:rsid w:val="003604CE"/>
    <w:rsid w:val="00370E47"/>
    <w:rsid w:val="003742AC"/>
    <w:rsid w:val="00374867"/>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1C50"/>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799"/>
    <w:rsid w:val="00531534"/>
    <w:rsid w:val="005338D0"/>
    <w:rsid w:val="00534B59"/>
    <w:rsid w:val="00536759"/>
    <w:rsid w:val="00537C62"/>
    <w:rsid w:val="0054212F"/>
    <w:rsid w:val="00546970"/>
    <w:rsid w:val="005520DF"/>
    <w:rsid w:val="00554E19"/>
    <w:rsid w:val="0056121F"/>
    <w:rsid w:val="00572505"/>
    <w:rsid w:val="00580202"/>
    <w:rsid w:val="00582809"/>
    <w:rsid w:val="005873E3"/>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E93"/>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35"/>
    <w:rsid w:val="00683ECE"/>
    <w:rsid w:val="00693DC7"/>
    <w:rsid w:val="00695FC2"/>
    <w:rsid w:val="00696949"/>
    <w:rsid w:val="00697052"/>
    <w:rsid w:val="006A46FB"/>
    <w:rsid w:val="006A5E28"/>
    <w:rsid w:val="006A697B"/>
    <w:rsid w:val="006A7AFF"/>
    <w:rsid w:val="006B1816"/>
    <w:rsid w:val="006B2099"/>
    <w:rsid w:val="006B50CF"/>
    <w:rsid w:val="006C03B8"/>
    <w:rsid w:val="006C5EC9"/>
    <w:rsid w:val="006C6059"/>
    <w:rsid w:val="006C6268"/>
    <w:rsid w:val="006C7522"/>
    <w:rsid w:val="006D6F08"/>
    <w:rsid w:val="006E062C"/>
    <w:rsid w:val="006E096C"/>
    <w:rsid w:val="006E0D35"/>
    <w:rsid w:val="006E28B7"/>
    <w:rsid w:val="006E3310"/>
    <w:rsid w:val="006E4E39"/>
    <w:rsid w:val="006E565E"/>
    <w:rsid w:val="006E673D"/>
    <w:rsid w:val="006E7D3B"/>
    <w:rsid w:val="006F1B70"/>
    <w:rsid w:val="006F341D"/>
    <w:rsid w:val="006F3CDE"/>
    <w:rsid w:val="006F58D4"/>
    <w:rsid w:val="006F73D0"/>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29E2"/>
    <w:rsid w:val="00793CD8"/>
    <w:rsid w:val="00795C92"/>
    <w:rsid w:val="00796231"/>
    <w:rsid w:val="007A1CB3"/>
    <w:rsid w:val="007A306F"/>
    <w:rsid w:val="007A43A6"/>
    <w:rsid w:val="007A58A6"/>
    <w:rsid w:val="007B3D2D"/>
    <w:rsid w:val="007B50AE"/>
    <w:rsid w:val="007B51DF"/>
    <w:rsid w:val="007C05DD"/>
    <w:rsid w:val="007C3D18"/>
    <w:rsid w:val="007C60BF"/>
    <w:rsid w:val="007C6821"/>
    <w:rsid w:val="007C6A07"/>
    <w:rsid w:val="007C75A1"/>
    <w:rsid w:val="007C77A5"/>
    <w:rsid w:val="007D04E5"/>
    <w:rsid w:val="007D5901"/>
    <w:rsid w:val="007D7526"/>
    <w:rsid w:val="007E4610"/>
    <w:rsid w:val="007E4715"/>
    <w:rsid w:val="007E505B"/>
    <w:rsid w:val="007E7091"/>
    <w:rsid w:val="007F53EF"/>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1C37"/>
    <w:rsid w:val="00894A88"/>
    <w:rsid w:val="00895386"/>
    <w:rsid w:val="008A21FF"/>
    <w:rsid w:val="008A2867"/>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3C9F"/>
    <w:rsid w:val="009D4FF0"/>
    <w:rsid w:val="009D703C"/>
    <w:rsid w:val="009D718F"/>
    <w:rsid w:val="009E068F"/>
    <w:rsid w:val="009E14E0"/>
    <w:rsid w:val="009E35DB"/>
    <w:rsid w:val="009E47A3"/>
    <w:rsid w:val="009E66F1"/>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DE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7AD"/>
    <w:rsid w:val="00AF1C5D"/>
    <w:rsid w:val="00AF42D7"/>
    <w:rsid w:val="00B006FE"/>
    <w:rsid w:val="00B007CB"/>
    <w:rsid w:val="00B02AA9"/>
    <w:rsid w:val="00B02FA3"/>
    <w:rsid w:val="00B05084"/>
    <w:rsid w:val="00B157F9"/>
    <w:rsid w:val="00B167F1"/>
    <w:rsid w:val="00B20256"/>
    <w:rsid w:val="00B20D09"/>
    <w:rsid w:val="00B233DA"/>
    <w:rsid w:val="00B2763F"/>
    <w:rsid w:val="00B27AAC"/>
    <w:rsid w:val="00B30929"/>
    <w:rsid w:val="00B372AA"/>
    <w:rsid w:val="00B40445"/>
    <w:rsid w:val="00B41888"/>
    <w:rsid w:val="00B42BDB"/>
    <w:rsid w:val="00B45A52"/>
    <w:rsid w:val="00B46175"/>
    <w:rsid w:val="00B62AAA"/>
    <w:rsid w:val="00B664C7"/>
    <w:rsid w:val="00B6759A"/>
    <w:rsid w:val="00B67B3E"/>
    <w:rsid w:val="00B739F6"/>
    <w:rsid w:val="00B80F6C"/>
    <w:rsid w:val="00B81A6C"/>
    <w:rsid w:val="00B85DE5"/>
    <w:rsid w:val="00B90F73"/>
    <w:rsid w:val="00B93B59"/>
    <w:rsid w:val="00B9406A"/>
    <w:rsid w:val="00BA2280"/>
    <w:rsid w:val="00BA2A08"/>
    <w:rsid w:val="00BA56D2"/>
    <w:rsid w:val="00BA76E0"/>
    <w:rsid w:val="00BB27E6"/>
    <w:rsid w:val="00BB2A25"/>
    <w:rsid w:val="00BB51E9"/>
    <w:rsid w:val="00BC0FDC"/>
    <w:rsid w:val="00BC3053"/>
    <w:rsid w:val="00BC4D2E"/>
    <w:rsid w:val="00BD48AC"/>
    <w:rsid w:val="00BD5F1A"/>
    <w:rsid w:val="00BE1234"/>
    <w:rsid w:val="00BE2FA6"/>
    <w:rsid w:val="00BE333F"/>
    <w:rsid w:val="00BE692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6DEF"/>
    <w:rsid w:val="00CB1F63"/>
    <w:rsid w:val="00CB7170"/>
    <w:rsid w:val="00CC040E"/>
    <w:rsid w:val="00CC111F"/>
    <w:rsid w:val="00CC2011"/>
    <w:rsid w:val="00CC3EA0"/>
    <w:rsid w:val="00CC7B45"/>
    <w:rsid w:val="00CD1188"/>
    <w:rsid w:val="00CD2D06"/>
    <w:rsid w:val="00CD2ED1"/>
    <w:rsid w:val="00CD337B"/>
    <w:rsid w:val="00CE0424"/>
    <w:rsid w:val="00CE7561"/>
    <w:rsid w:val="00CF0201"/>
    <w:rsid w:val="00CF1354"/>
    <w:rsid w:val="00CF23E2"/>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05CD"/>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35B1"/>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7F9F"/>
    <w:rsid w:val="00DE5608"/>
    <w:rsid w:val="00DE58D0"/>
    <w:rsid w:val="00DE654F"/>
    <w:rsid w:val="00DF0B6E"/>
    <w:rsid w:val="00DF15E0"/>
    <w:rsid w:val="00DF37A0"/>
    <w:rsid w:val="00E110E7"/>
    <w:rsid w:val="00E11B20"/>
    <w:rsid w:val="00E17FA2"/>
    <w:rsid w:val="00E22330"/>
    <w:rsid w:val="00E26649"/>
    <w:rsid w:val="00E30157"/>
    <w:rsid w:val="00E30B5A"/>
    <w:rsid w:val="00E3123D"/>
    <w:rsid w:val="00E31461"/>
    <w:rsid w:val="00E31D43"/>
    <w:rsid w:val="00E32608"/>
    <w:rsid w:val="00E34188"/>
    <w:rsid w:val="00E344EF"/>
    <w:rsid w:val="00E345CD"/>
    <w:rsid w:val="00E34B6E"/>
    <w:rsid w:val="00E35559"/>
    <w:rsid w:val="00E3723A"/>
    <w:rsid w:val="00E37860"/>
    <w:rsid w:val="00E446F1"/>
    <w:rsid w:val="00E46886"/>
    <w:rsid w:val="00E47AEF"/>
    <w:rsid w:val="00E503F9"/>
    <w:rsid w:val="00E53B75"/>
    <w:rsid w:val="00E54E3B"/>
    <w:rsid w:val="00E57565"/>
    <w:rsid w:val="00E63838"/>
    <w:rsid w:val="00E64434"/>
    <w:rsid w:val="00E675A4"/>
    <w:rsid w:val="00E67C51"/>
    <w:rsid w:val="00E72EFC"/>
    <w:rsid w:val="00E758EC"/>
    <w:rsid w:val="00E8234C"/>
    <w:rsid w:val="00E83AA9"/>
    <w:rsid w:val="00E85928"/>
    <w:rsid w:val="00E87822"/>
    <w:rsid w:val="00E90395"/>
    <w:rsid w:val="00E90E49"/>
    <w:rsid w:val="00E90F27"/>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438"/>
    <w:rsid w:val="00F40F0C"/>
    <w:rsid w:val="00F4766C"/>
    <w:rsid w:val="00F507D1"/>
    <w:rsid w:val="00F519CE"/>
    <w:rsid w:val="00F51ADA"/>
    <w:rsid w:val="00F607C5"/>
    <w:rsid w:val="00F60DEA"/>
    <w:rsid w:val="00F6302A"/>
    <w:rsid w:val="00F6315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0969"/>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5D35E11-0492-4067-A791-A741C046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82835"/>
    <w:pPr>
      <w:ind w:left="720"/>
      <w:contextualSpacing/>
    </w:pPr>
  </w:style>
  <w:style w:type="table" w:styleId="TableGrid">
    <w:name w:val="Table Grid"/>
    <w:basedOn w:val="TableNormal"/>
    <w:rsid w:val="00347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5DB52-DFA3-41AA-92B1-9C02F02AF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304</TotalTime>
  <Pages>1</Pages>
  <Words>498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Stefan Wager</cp:lastModifiedBy>
  <cp:revision>27</cp:revision>
  <cp:lastPrinted>2008-01-31T06:09:00Z</cp:lastPrinted>
  <dcterms:created xsi:type="dcterms:W3CDTF">2016-10-26T12:42:00Z</dcterms:created>
  <dcterms:modified xsi:type="dcterms:W3CDTF">2016-11-04T23:25:00Z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